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EC51" w14:textId="7180500C" w:rsidR="0040797A" w:rsidRPr="00CD0EB6" w:rsidRDefault="0040797A" w:rsidP="0040797A">
      <w:pPr>
        <w:snapToGrid w:val="0"/>
        <w:spacing w:after="0"/>
        <w:ind w:right="-1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bookmarkStart w:id="0" w:name="_Toc196396261"/>
      <w:r w:rsidRPr="00CD0E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1</w:t>
      </w:r>
      <w:r w:rsidR="0010782E" w:rsidRPr="00CD0E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2</w:t>
      </w:r>
      <w:r w:rsidRPr="00CD0E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.2. pielikums</w:t>
      </w:r>
    </w:p>
    <w:p w14:paraId="15A3B299" w14:textId="77777777" w:rsidR="0040797A" w:rsidRPr="00CD0EB6" w:rsidRDefault="0040797A" w:rsidP="0040797A">
      <w:pPr>
        <w:snapToGrid w:val="0"/>
        <w:spacing w:after="0"/>
        <w:ind w:right="-1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</w:pP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Daugavpils </w:t>
      </w:r>
      <w:proofErr w:type="spellStart"/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>valstspilsētas</w:t>
      </w:r>
      <w:proofErr w:type="spellEnd"/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 un Augšdaugavas novada</w:t>
      </w:r>
    </w:p>
    <w:p w14:paraId="440762E3" w14:textId="77777777" w:rsidR="0040797A" w:rsidRPr="00CD0EB6" w:rsidRDefault="0040797A" w:rsidP="004079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  </w:t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CD0E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  <w:t>sadarbības teritorijas civilās aizsardzības plānam</w:t>
      </w:r>
    </w:p>
    <w:p w14:paraId="567E6D06" w14:textId="77777777" w:rsidR="0040797A" w:rsidRPr="00CD0EB6" w:rsidRDefault="0040797A" w:rsidP="0040797A">
      <w:pP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1"/>
          <w:shd w:val="clear" w:color="auto" w:fill="FFFFFF"/>
          <w:lang w:val="lv-LV" w:eastAsia="hi-IN" w:bidi="hi-IN"/>
        </w:rPr>
      </w:pPr>
    </w:p>
    <w:p w14:paraId="0AA40995" w14:textId="06145E9D" w:rsidR="00F06FFD" w:rsidRPr="00CD0EB6" w:rsidRDefault="00F06FFD" w:rsidP="0040797A">
      <w:pPr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1"/>
          <w:shd w:val="clear" w:color="auto" w:fill="FFFFFF"/>
          <w:lang w:val="lv-LV" w:eastAsia="hi-IN" w:bidi="hi-IN"/>
        </w:rPr>
      </w:pPr>
      <w:r w:rsidRPr="00CD0EB6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1"/>
          <w:shd w:val="clear" w:color="auto" w:fill="FFFFFF"/>
          <w:lang w:val="lv-LV" w:eastAsia="hi-IN" w:bidi="hi-IN"/>
        </w:rPr>
        <w:t>Ieteikumi iedzīvotājiem kā rīkoties zemes nogruvumu laikā.</w:t>
      </w:r>
      <w:bookmarkEnd w:id="0"/>
    </w:p>
    <w:p w14:paraId="52105718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57EA15E0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Kā rīkoties zemes nogruvuma laikā?</w:t>
      </w:r>
    </w:p>
    <w:p w14:paraId="4A560A44" w14:textId="615C1317" w:rsidR="00F06FFD" w:rsidRPr="00CD0EB6" w:rsidRDefault="00F06FFD" w:rsidP="00F06FF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Zvani 112</w:t>
      </w:r>
      <w:r w:rsidR="0042685A"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 xml:space="preserve"> vai izmanto </w:t>
      </w:r>
      <w:r w:rsidR="0042685A" w:rsidRPr="00CD0EB6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 w:eastAsia="lv-LV"/>
        </w:rPr>
        <w:t>lietotni "112 Latvija"</w:t>
      </w:r>
    </w:p>
    <w:p w14:paraId="61D4AF03" w14:textId="77777777" w:rsidR="00F06FFD" w:rsidRPr="00CD0EB6" w:rsidRDefault="00F06FFD" w:rsidP="00F06FF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 xml:space="preserve">Ja </w:t>
      </w:r>
      <w:proofErr w:type="spellStart"/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atrodies</w:t>
      </w:r>
      <w:proofErr w:type="spellEnd"/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 xml:space="preserve"> ārpus telpām, netuvojies zemes nogruvuma vietai.</w:t>
      </w:r>
    </w:p>
    <w:p w14:paraId="374AFDE7" w14:textId="77777777" w:rsidR="00F06FFD" w:rsidRPr="00CD0EB6" w:rsidRDefault="00F06FFD" w:rsidP="00F06FF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Ja vadi transportlīdzekli, esi modrs! Ceļi var tikt bloķēti vai slēgti zemes nogruvuma vai seguma bojājuma dēļ.</w:t>
      </w:r>
    </w:p>
    <w:p w14:paraId="52FB4B67" w14:textId="77777777" w:rsidR="00F06FFD" w:rsidRPr="00CD0EB6" w:rsidRDefault="00F06FFD" w:rsidP="00F06FF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Ja nogruvuma vai gružu plūsmas bīstamība ir nenovēršama, ātri virzies prom no nogruvuma plūsmas. Izkļūšana no gružu plūsmas ceļ ir Tava labākā aizsardzība.</w:t>
      </w:r>
    </w:p>
    <w:p w14:paraId="0D888902" w14:textId="77777777" w:rsidR="00F06FFD" w:rsidRPr="00CD0EB6" w:rsidRDefault="00F06FFD" w:rsidP="00F06FF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49FCDC5B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Kā rīkoties pēc zemes nogruvuma?</w:t>
      </w:r>
    </w:p>
    <w:p w14:paraId="049E659B" w14:textId="77777777" w:rsidR="00F06FFD" w:rsidRPr="00CD0EB6" w:rsidRDefault="00F06FFD" w:rsidP="00F06FF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Nezaudē modrību! Pēc zemes nogruvuma vai dubļu plūsmas var notikt applūšana vai papildu nogruvumi.</w:t>
      </w:r>
    </w:p>
    <w:p w14:paraId="4BAC96EB" w14:textId="77777777" w:rsidR="00F06FFD" w:rsidRPr="00CD0EB6" w:rsidRDefault="00F06FFD" w:rsidP="00F06FF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Ja ir iespējams, pārbaudi, vai skartās teritorijas tuvumā nav ievainotu vai iesprostotu cilvēku. Atceries! Neieejot nogruvuma vai dubļu plūsmas ceļā!</w:t>
      </w:r>
    </w:p>
    <w:p w14:paraId="37268445" w14:textId="77777777" w:rsidR="00F06FFD" w:rsidRPr="00CD0EB6" w:rsidRDefault="00F06FFD" w:rsidP="00F06FF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Ziņo atbildīgajām iestādēm par bojātām komunālo pakalpojumu līnijām.</w:t>
      </w:r>
    </w:p>
    <w:p w14:paraId="5BAD2F2B" w14:textId="77777777" w:rsidR="00F06FFD" w:rsidRPr="00CD0EB6" w:rsidRDefault="00F06FFD" w:rsidP="00F06FF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Konsultējies ar pašvaldību un ekspertiem, lai saņemtu padomu par risku samazināšanu zemes nogruvumos.</w:t>
      </w:r>
    </w:p>
    <w:p w14:paraId="1DF7783D" w14:textId="77777777" w:rsidR="00F06FFD" w:rsidRPr="00CD0EB6" w:rsidRDefault="00F06FFD" w:rsidP="00F06FF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39CC7A0D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Atceries!</w:t>
      </w:r>
    </w:p>
    <w:p w14:paraId="74731FE8" w14:textId="77777777" w:rsidR="00F06FFD" w:rsidRPr="00CD0EB6" w:rsidRDefault="00F06FFD" w:rsidP="00F06FF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Dodoties dabā, pievērs uzmanību drošības zīmēm, piemēram "Uzmanību! Bīstami! Zemes nogruvumi".</w:t>
      </w:r>
    </w:p>
    <w:p w14:paraId="7F9C09A7" w14:textId="77777777" w:rsidR="00F06FFD" w:rsidRPr="00CD0EB6" w:rsidRDefault="00F06FFD" w:rsidP="00F06FF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Nedodies uz to vietu, kur noticis zemes nogruvums, lai to apskatītu. Tā Tu apdraudēsi ne tikai sevi, bet traucēsi operatīvo dienestu darbiniekiem veikt nepieciešamos darbus apdraudējuma novēršanā.</w:t>
      </w:r>
    </w:p>
    <w:p w14:paraId="202B4DF8" w14:textId="77777777" w:rsidR="00F06FFD" w:rsidRPr="00CD0EB6" w:rsidRDefault="00F06FFD" w:rsidP="00F06FF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385AF823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Ņem vērā!</w:t>
      </w:r>
    </w:p>
    <w:p w14:paraId="14EE36C7" w14:textId="77777777" w:rsidR="00F06FFD" w:rsidRPr="00CD0EB6" w:rsidRDefault="00F06FFD" w:rsidP="00F06F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Gadījumā, ja pastāvēs iespējami zemes nogruvuma draudi, par to brīdinās oficiālie valsts dienesti, izmantojot plašsaziņas līdzekļus vai sociālos tīklus.</w:t>
      </w:r>
    </w:p>
    <w:p w14:paraId="11B81E87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5F77D74A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Kuras zonas ir apdraudētas?</w:t>
      </w:r>
    </w:p>
    <w:p w14:paraId="5B38E841" w14:textId="40397CD9" w:rsidR="00F06FFD" w:rsidRPr="00CD0EB6" w:rsidRDefault="00F06FFD" w:rsidP="0042685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Dažās teritorijās ir lielāka zemes nogruvumu un dubļu nogruvumu iespējamība, tostarp:</w:t>
      </w:r>
    </w:p>
    <w:p w14:paraId="3132E1B4" w14:textId="77777777" w:rsidR="00F06FFD" w:rsidRPr="00CD0EB6" w:rsidRDefault="00F06FFD" w:rsidP="00F06FF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teritorijas, kurās savvaļas ugunsgrēki vai cilvēku veikta zemes pārvietošana ir iznīcinājusi veģetāciju;</w:t>
      </w:r>
    </w:p>
    <w:p w14:paraId="080972F0" w14:textId="77777777" w:rsidR="00F06FFD" w:rsidRPr="00CD0EB6" w:rsidRDefault="00F06FFD" w:rsidP="00F06FF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teritorijas, kurās pirms tam ir notikuši nogruvumi;</w:t>
      </w:r>
    </w:p>
    <w:p w14:paraId="6D8B0BAB" w14:textId="77777777" w:rsidR="00F06FFD" w:rsidRPr="00CD0EB6" w:rsidRDefault="00F06FFD" w:rsidP="00F06FF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stāvas nogāzes;</w:t>
      </w:r>
    </w:p>
    <w:p w14:paraId="0A4B9EF4" w14:textId="77777777" w:rsidR="00F06FFD" w:rsidRPr="00CD0EB6" w:rsidRDefault="00F06FFD" w:rsidP="00F06FF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nogāzes, kas mainītas ēku un ceļu būvniecības rezultātā;</w:t>
      </w:r>
    </w:p>
    <w:p w14:paraId="121DA5A0" w14:textId="77777777" w:rsidR="00F06FFD" w:rsidRPr="00CD0EB6" w:rsidRDefault="00F06FFD" w:rsidP="00F06FF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nogāzes upju, strautu, kanālu tiešā tuvumā.</w:t>
      </w:r>
    </w:p>
    <w:p w14:paraId="16679A55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1F9872FE" w14:textId="77777777" w:rsidR="00F06FFD" w:rsidRPr="00CD0EB6" w:rsidRDefault="00F06FFD" w:rsidP="00F06FF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Ko darīt, lai sevi aizsargātu?</w:t>
      </w:r>
    </w:p>
    <w:p w14:paraId="36803205" w14:textId="77777777" w:rsidR="00F06FFD" w:rsidRPr="00CD0EB6" w:rsidRDefault="00F06FFD" w:rsidP="00F06FF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Uzzini, vai zemes nogruvumi Tavā apkaimē ir notikuši iepriekš.</w:t>
      </w:r>
    </w:p>
    <w:p w14:paraId="6F0BC90C" w14:textId="77777777" w:rsidR="00F06FFD" w:rsidRPr="00CD0EB6" w:rsidRDefault="00F06FFD" w:rsidP="00F06FF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CD0EB6">
        <w:rPr>
          <w:rFonts w:ascii="Times New Roman" w:eastAsia="Times New Roman" w:hAnsi="Times New Roman" w:cs="Mangal"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Ja dzīvo vai uzturies teritorijā, kur iespējami zemes nogruvumi, apsver iespēju pirms spēcīgām vētrām un lietusgāzēm to laikus atstāt.</w:t>
      </w:r>
    </w:p>
    <w:p w14:paraId="322CCC65" w14:textId="77777777" w:rsidR="000A2C17" w:rsidRPr="00CD0EB6" w:rsidRDefault="000A2C17">
      <w:pPr>
        <w:rPr>
          <w:color w:val="000000" w:themeColor="text1"/>
        </w:rPr>
      </w:pPr>
    </w:p>
    <w:sectPr w:rsidR="000A2C17" w:rsidRPr="00CD0EB6" w:rsidSect="00F06FFD">
      <w:pgSz w:w="11907" w:h="16840" w:code="9"/>
      <w:pgMar w:top="1134" w:right="1134" w:bottom="1134" w:left="1701" w:header="720" w:footer="720" w:gutter="0"/>
      <w:cols w:space="708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9D3"/>
    <w:multiLevelType w:val="hybridMultilevel"/>
    <w:tmpl w:val="F110B874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337"/>
    <w:multiLevelType w:val="multilevel"/>
    <w:tmpl w:val="5630D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067E30"/>
    <w:multiLevelType w:val="hybridMultilevel"/>
    <w:tmpl w:val="A6C6A92A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161F7"/>
    <w:multiLevelType w:val="hybridMultilevel"/>
    <w:tmpl w:val="68480D3E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7495"/>
    <w:multiLevelType w:val="hybridMultilevel"/>
    <w:tmpl w:val="B54EECBC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C89"/>
    <w:multiLevelType w:val="hybridMultilevel"/>
    <w:tmpl w:val="DDB04E20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76459">
    <w:abstractNumId w:val="1"/>
  </w:num>
  <w:num w:numId="2" w16cid:durableId="1368602095">
    <w:abstractNumId w:val="3"/>
  </w:num>
  <w:num w:numId="3" w16cid:durableId="974600134">
    <w:abstractNumId w:val="5"/>
  </w:num>
  <w:num w:numId="4" w16cid:durableId="322009932">
    <w:abstractNumId w:val="4"/>
  </w:num>
  <w:num w:numId="5" w16cid:durableId="2015841999">
    <w:abstractNumId w:val="0"/>
  </w:num>
  <w:num w:numId="6" w16cid:durableId="127050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2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FD"/>
    <w:rsid w:val="00001A06"/>
    <w:rsid w:val="000A2C17"/>
    <w:rsid w:val="0010782E"/>
    <w:rsid w:val="0029126B"/>
    <w:rsid w:val="003710BE"/>
    <w:rsid w:val="0040797A"/>
    <w:rsid w:val="0042685A"/>
    <w:rsid w:val="00CD0EB6"/>
    <w:rsid w:val="00E04A91"/>
    <w:rsid w:val="00F06FFD"/>
    <w:rsid w:val="00F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A8F2"/>
  <w15:chartTrackingRefBased/>
  <w15:docId w15:val="{460FC344-9DE2-46DB-8E39-8DB7D0D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B6E6-57AD-4C16-A181-E8A6B7DB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Ruluks</dc:creator>
  <cp:keywords/>
  <dc:description/>
  <cp:lastModifiedBy>Martins R</cp:lastModifiedBy>
  <cp:revision>5</cp:revision>
  <dcterms:created xsi:type="dcterms:W3CDTF">2025-04-24T12:01:00Z</dcterms:created>
  <dcterms:modified xsi:type="dcterms:W3CDTF">2026-01-29T07:41:00Z</dcterms:modified>
</cp:coreProperties>
</file>